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C228F" w:rsidRDefault="001C228F" w:rsidP="001C228F">
      <w:pPr>
        <w:spacing w:line="360" w:lineRule="auto"/>
        <w:jc w:val="both"/>
        <w:rPr>
          <w:color w:val="000000" w:themeColor="text1"/>
          <w:szCs w:val="20"/>
        </w:rPr>
      </w:pPr>
    </w:p>
    <w:p w:rsidR="001C228F" w:rsidRPr="0076550B" w:rsidRDefault="001C228F" w:rsidP="001C228F">
      <w:pPr>
        <w:spacing w:line="360" w:lineRule="auto"/>
        <w:jc w:val="center"/>
        <w:rPr>
          <w:b/>
        </w:rPr>
      </w:pPr>
      <w:r w:rsidRPr="0076550B">
        <w:rPr>
          <w:b/>
        </w:rPr>
        <w:t>RESUMO</w:t>
      </w:r>
    </w:p>
    <w:p w:rsidR="001C228F" w:rsidRPr="0076550B" w:rsidRDefault="001C228F" w:rsidP="001C228F">
      <w:pPr>
        <w:spacing w:line="360" w:lineRule="auto"/>
        <w:jc w:val="center"/>
        <w:rPr>
          <w:b/>
        </w:rPr>
      </w:pPr>
    </w:p>
    <w:p w:rsidR="001C228F" w:rsidRDefault="001C228F" w:rsidP="001C228F">
      <w:pPr>
        <w:jc w:val="both"/>
        <w:rPr>
          <w:color w:val="000000"/>
        </w:rPr>
      </w:pPr>
      <w:r w:rsidRPr="009C2FB1">
        <w:rPr>
          <w:bCs/>
          <w:color w:val="000000"/>
        </w:rPr>
        <w:t xml:space="preserve">BARRETO, Luísa </w:t>
      </w:r>
      <w:proofErr w:type="spellStart"/>
      <w:r w:rsidRPr="009C2FB1">
        <w:rPr>
          <w:bCs/>
          <w:color w:val="000000"/>
        </w:rPr>
        <w:t>Schubach</w:t>
      </w:r>
      <w:proofErr w:type="spellEnd"/>
      <w:r w:rsidRPr="009C2FB1">
        <w:rPr>
          <w:bCs/>
          <w:color w:val="000000"/>
        </w:rPr>
        <w:t xml:space="preserve"> da Costa. </w:t>
      </w:r>
      <w:r w:rsidRPr="008F1EE2">
        <w:rPr>
          <w:i/>
          <w:color w:val="000000"/>
        </w:rPr>
        <w:t xml:space="preserve">Análise tridimensional das vias aéreas superiores de pacientes em crescimento com má oclusão Classe II tratados com dispositivos de avanço mandibular (aparelho de </w:t>
      </w:r>
      <w:proofErr w:type="spellStart"/>
      <w:r w:rsidRPr="008F1EE2">
        <w:rPr>
          <w:i/>
          <w:color w:val="000000"/>
        </w:rPr>
        <w:t>Herbst</w:t>
      </w:r>
      <w:proofErr w:type="spellEnd"/>
      <w:r w:rsidRPr="006D6A3E">
        <w:rPr>
          <w:i/>
          <w:color w:val="000000" w:themeColor="text1"/>
        </w:rPr>
        <w:t xml:space="preserve">) com e sem ancoragem esquelética: Ensaio clínico randomizado controlado (ECR). </w:t>
      </w:r>
      <w:r w:rsidRPr="006D6A3E">
        <w:rPr>
          <w:color w:val="000000" w:themeColor="text1"/>
        </w:rPr>
        <w:t>2025. 1</w:t>
      </w:r>
      <w:r>
        <w:rPr>
          <w:color w:val="000000" w:themeColor="text1"/>
        </w:rPr>
        <w:t>39</w:t>
      </w:r>
      <w:r w:rsidRPr="006D6A3E">
        <w:rPr>
          <w:color w:val="000000" w:themeColor="text1"/>
        </w:rPr>
        <w:t>f</w:t>
      </w:r>
      <w:r w:rsidRPr="009C2FB1">
        <w:rPr>
          <w:color w:val="000000"/>
        </w:rPr>
        <w:t>. Tese (Doutorado em Odontologia) - Faculdade de Odontologia, Universidade do Estado do Rio de Janeiro, Rio de Janeiro, 2025.</w:t>
      </w:r>
    </w:p>
    <w:p w:rsidR="001C228F" w:rsidRDefault="001C228F" w:rsidP="001C228F">
      <w:pPr>
        <w:spacing w:line="360" w:lineRule="auto"/>
        <w:ind w:firstLine="708"/>
        <w:jc w:val="both"/>
        <w:rPr>
          <w:color w:val="000000" w:themeColor="text1"/>
          <w:szCs w:val="20"/>
        </w:rPr>
      </w:pPr>
    </w:p>
    <w:p w:rsidR="001C228F" w:rsidRPr="001C228F" w:rsidRDefault="001C228F" w:rsidP="001C228F">
      <w:pPr>
        <w:spacing w:line="360" w:lineRule="auto"/>
        <w:ind w:firstLine="708"/>
        <w:jc w:val="both"/>
        <w:rPr>
          <w:color w:val="000000" w:themeColor="text1"/>
          <w:szCs w:val="20"/>
        </w:rPr>
      </w:pPr>
      <w:r w:rsidRPr="001C228F">
        <w:rPr>
          <w:color w:val="000000" w:themeColor="text1"/>
          <w:szCs w:val="20"/>
        </w:rPr>
        <w:t>A presente pesquisa integra duas frentes de investigação complementares: o desenvolvimento de uma configuração automatizada no software InVivo7 para análise 3D de imagens volumétricas e a avaliação das vias aéreas superiores (VAS) de pacientes em crescimento, portadores de má oclusão de Classe II, tratados com dispositivos de avanço mandibular (</w:t>
      </w:r>
      <w:proofErr w:type="spellStart"/>
      <w:r w:rsidRPr="001C228F">
        <w:rPr>
          <w:color w:val="000000" w:themeColor="text1"/>
          <w:szCs w:val="20"/>
        </w:rPr>
        <w:t>DAMs</w:t>
      </w:r>
      <w:proofErr w:type="spellEnd"/>
      <w:r w:rsidRPr="001C228F">
        <w:rPr>
          <w:color w:val="000000" w:themeColor="text1"/>
          <w:szCs w:val="20"/>
        </w:rPr>
        <w:t xml:space="preserve">). Em particular, foram analisados os efeitos do aparelho de </w:t>
      </w:r>
      <w:proofErr w:type="spellStart"/>
      <w:r w:rsidRPr="001C228F">
        <w:rPr>
          <w:color w:val="000000" w:themeColor="text1"/>
          <w:szCs w:val="20"/>
        </w:rPr>
        <w:t>Herbst</w:t>
      </w:r>
      <w:proofErr w:type="spellEnd"/>
      <w:r w:rsidRPr="001C228F">
        <w:rPr>
          <w:color w:val="000000" w:themeColor="text1"/>
          <w:szCs w:val="20"/>
        </w:rPr>
        <w:t xml:space="preserve"> com ancoragem dentária (HAD) e com ancoragem esquelética (HAE) associada a </w:t>
      </w:r>
      <w:proofErr w:type="spellStart"/>
      <w:r w:rsidRPr="001C228F">
        <w:rPr>
          <w:color w:val="000000" w:themeColor="text1"/>
          <w:szCs w:val="20"/>
        </w:rPr>
        <w:t>mini-implantes</w:t>
      </w:r>
      <w:proofErr w:type="spellEnd"/>
      <w:r w:rsidRPr="001C228F">
        <w:rPr>
          <w:color w:val="000000" w:themeColor="text1"/>
          <w:szCs w:val="20"/>
        </w:rPr>
        <w:t xml:space="preserve"> mandibulares. No primeiro objetivo, o software InVivo7 foi testado no Laboratório de Instrumentação em Pesquisa Craniofacial da Universidade do Pacífico (São Francisco, CA, EUA), avaliando-se sua funcionalidade e a aplicação de inteligência artificial (IA) para identificar pontos craniométricos em tomografias computadorizadas de feixe cônico (TCFC). Embora o sistema tenha demonstrado alta precisão, a inclusão de novas medidas dentárias e esqueléticas exigiu validação manual por avaliadores experientes para a posterior criação da configuração automatizada exclusiva para diagnóstico e avaliação de resultados ortodônticos. A calibração foi realizada em 105 </w:t>
      </w:r>
      <w:proofErr w:type="spellStart"/>
      <w:r w:rsidRPr="001C228F">
        <w:rPr>
          <w:color w:val="000000" w:themeColor="text1"/>
          <w:szCs w:val="20"/>
        </w:rPr>
        <w:t>TCFCs</w:t>
      </w:r>
      <w:proofErr w:type="spellEnd"/>
      <w:r w:rsidRPr="001C228F">
        <w:rPr>
          <w:color w:val="000000" w:themeColor="text1"/>
          <w:szCs w:val="20"/>
        </w:rPr>
        <w:t xml:space="preserve"> disponíveis na base de dados de estudo clínico randomizado controlado (ECR). Para assegurar a exatidão, foram ajustados manualmente pontos críticos como marcos de tecidos moles e medidas dentárias, que podem apresentar distorções. No segundo objetivo, o ECR foi conduzido na Clínica de Pós-Graduação em Ortodontia da Universidade do Estado do Rio de Janeiro (UERJ), com foco nas alterações das VAS de 40 pacientes no pico do surto de crescimento tratados com aparelhos </w:t>
      </w:r>
      <w:proofErr w:type="spellStart"/>
      <w:r w:rsidRPr="001C228F">
        <w:rPr>
          <w:i/>
          <w:iCs/>
          <w:color w:val="000000" w:themeColor="text1"/>
          <w:szCs w:val="20"/>
        </w:rPr>
        <w:t>Herbst</w:t>
      </w:r>
      <w:proofErr w:type="spellEnd"/>
      <w:r w:rsidRPr="001C228F">
        <w:rPr>
          <w:i/>
          <w:iCs/>
          <w:color w:val="000000" w:themeColor="text1"/>
          <w:szCs w:val="20"/>
        </w:rPr>
        <w:t xml:space="preserve"> </w:t>
      </w:r>
      <w:r w:rsidRPr="001C228F">
        <w:rPr>
          <w:color w:val="000000" w:themeColor="text1"/>
          <w:szCs w:val="20"/>
        </w:rPr>
        <w:t xml:space="preserve">(HAD = 20 e HAE = 20). As </w:t>
      </w:r>
      <w:proofErr w:type="spellStart"/>
      <w:r w:rsidRPr="001C228F">
        <w:rPr>
          <w:color w:val="000000" w:themeColor="text1"/>
          <w:szCs w:val="20"/>
        </w:rPr>
        <w:t>TCFCs</w:t>
      </w:r>
      <w:proofErr w:type="spellEnd"/>
      <w:r w:rsidRPr="001C228F">
        <w:rPr>
          <w:color w:val="000000" w:themeColor="text1"/>
          <w:szCs w:val="20"/>
        </w:rPr>
        <w:t xml:space="preserve"> foram analisadas antes (T1) e após (T2) 12 meses de tratamento, utilizando a configuração automatizada do InVivo7 para medições tridimensionais de estruturas craniofaciais, relações dentárias e espaço orofaríngeo (OF). Os resultados demonstraram que o InVivo7 é uma ferramenta confiável e eficiente, reduzindo o esforço manual e aumentando a precisão diagnóstica. Foram incorporadas fórmulas para obtenção de medidas clínicas, como ângulos do plano facial e relações molares, bem como análise </w:t>
      </w:r>
      <w:r w:rsidRPr="001C228F">
        <w:rPr>
          <w:color w:val="000000" w:themeColor="text1"/>
          <w:szCs w:val="20"/>
        </w:rPr>
        <w:lastRenderedPageBreak/>
        <w:t>de perfis esqueléticos, assimetrias mandibulares, classes de má oclusão e relações incisais (</w:t>
      </w:r>
      <w:proofErr w:type="spellStart"/>
      <w:r w:rsidRPr="001C228F">
        <w:rPr>
          <w:color w:val="000000" w:themeColor="text1"/>
          <w:szCs w:val="20"/>
        </w:rPr>
        <w:t>sobressaliência</w:t>
      </w:r>
      <w:proofErr w:type="spellEnd"/>
      <w:r w:rsidRPr="001C228F">
        <w:rPr>
          <w:color w:val="000000" w:themeColor="text1"/>
          <w:szCs w:val="20"/>
        </w:rPr>
        <w:t xml:space="preserve"> e </w:t>
      </w:r>
      <w:proofErr w:type="spellStart"/>
      <w:r w:rsidRPr="001C228F">
        <w:rPr>
          <w:color w:val="000000" w:themeColor="text1"/>
          <w:szCs w:val="20"/>
        </w:rPr>
        <w:t>sobremordida</w:t>
      </w:r>
      <w:proofErr w:type="spellEnd"/>
      <w:r w:rsidRPr="001C228F">
        <w:rPr>
          <w:color w:val="000000" w:themeColor="text1"/>
          <w:szCs w:val="20"/>
        </w:rPr>
        <w:t xml:space="preserve">) em </w:t>
      </w:r>
      <w:proofErr w:type="spellStart"/>
      <w:r w:rsidRPr="001C228F">
        <w:rPr>
          <w:color w:val="000000" w:themeColor="text1"/>
          <w:szCs w:val="20"/>
        </w:rPr>
        <w:t>TCFCs</w:t>
      </w:r>
      <w:proofErr w:type="spellEnd"/>
      <w:r w:rsidRPr="001C228F">
        <w:rPr>
          <w:color w:val="000000" w:themeColor="text1"/>
          <w:szCs w:val="20"/>
        </w:rPr>
        <w:t xml:space="preserve">. O índice de correlação intraclasse (ICC) foi igual ou superior a 0,8 para todas as medidas avaliadas. No contexto do tratamento com o aparelho </w:t>
      </w:r>
      <w:proofErr w:type="spellStart"/>
      <w:r w:rsidRPr="001C228F">
        <w:rPr>
          <w:i/>
          <w:iCs/>
          <w:color w:val="000000" w:themeColor="text1"/>
          <w:szCs w:val="20"/>
        </w:rPr>
        <w:t>Herbst</w:t>
      </w:r>
      <w:proofErr w:type="spellEnd"/>
      <w:r w:rsidRPr="001C228F">
        <w:rPr>
          <w:color w:val="000000" w:themeColor="text1"/>
          <w:szCs w:val="20"/>
        </w:rPr>
        <w:t xml:space="preserve">, análises de variância de medidas repetidas e testes post-hoc de </w:t>
      </w:r>
      <w:proofErr w:type="spellStart"/>
      <w:r w:rsidRPr="001C228F">
        <w:rPr>
          <w:color w:val="000000" w:themeColor="text1"/>
          <w:szCs w:val="20"/>
        </w:rPr>
        <w:t>Tukey</w:t>
      </w:r>
      <w:proofErr w:type="spellEnd"/>
      <w:r w:rsidRPr="001C228F">
        <w:rPr>
          <w:color w:val="000000" w:themeColor="text1"/>
          <w:szCs w:val="20"/>
        </w:rPr>
        <w:t xml:space="preserve"> foram realizados entre T1 e T2. Um nível de significância de p&lt;0,05 foi adotado, com poder estatístico de 80%. As variáveis contínuas foram analisadas na linguagem R (versão 3.6.1; R Foundation for </w:t>
      </w:r>
      <w:proofErr w:type="spellStart"/>
      <w:r w:rsidRPr="001C228F">
        <w:rPr>
          <w:color w:val="000000" w:themeColor="text1"/>
          <w:szCs w:val="20"/>
        </w:rPr>
        <w:t>Statistical</w:t>
      </w:r>
      <w:proofErr w:type="spellEnd"/>
      <w:r w:rsidRPr="001C228F">
        <w:rPr>
          <w:color w:val="000000" w:themeColor="text1"/>
          <w:szCs w:val="20"/>
        </w:rPr>
        <w:t xml:space="preserve"> </w:t>
      </w:r>
      <w:proofErr w:type="spellStart"/>
      <w:r w:rsidRPr="001C228F">
        <w:rPr>
          <w:color w:val="000000" w:themeColor="text1"/>
          <w:szCs w:val="20"/>
        </w:rPr>
        <w:t>Computing</w:t>
      </w:r>
      <w:proofErr w:type="spellEnd"/>
      <w:r w:rsidRPr="001C228F">
        <w:rPr>
          <w:color w:val="000000" w:themeColor="text1"/>
          <w:szCs w:val="20"/>
        </w:rPr>
        <w:t xml:space="preserve">, Viena, Áustria), e os dados ausentes foram tratados por análise estatística de intenção de tratamento (ITT). Para o grupo HAE, utilizou-se interpolação linear, enquanto no grupo HAD, os dados faltantes foram tratados por imputação múltipla no software SPSS (versão 24.0; IBM </w:t>
      </w:r>
      <w:proofErr w:type="spellStart"/>
      <w:r w:rsidRPr="001C228F">
        <w:rPr>
          <w:color w:val="000000" w:themeColor="text1"/>
          <w:szCs w:val="20"/>
        </w:rPr>
        <w:t>Corp</w:t>
      </w:r>
      <w:proofErr w:type="spellEnd"/>
      <w:r w:rsidRPr="001C228F">
        <w:rPr>
          <w:color w:val="000000" w:themeColor="text1"/>
          <w:szCs w:val="20"/>
        </w:rPr>
        <w:t xml:space="preserve">., </w:t>
      </w:r>
      <w:proofErr w:type="spellStart"/>
      <w:r w:rsidRPr="001C228F">
        <w:rPr>
          <w:color w:val="000000" w:themeColor="text1"/>
          <w:szCs w:val="20"/>
        </w:rPr>
        <w:t>Armonk</w:t>
      </w:r>
      <w:proofErr w:type="spellEnd"/>
      <w:r w:rsidRPr="001C228F">
        <w:rPr>
          <w:color w:val="000000" w:themeColor="text1"/>
          <w:szCs w:val="20"/>
        </w:rPr>
        <w:t>, NY, EUA</w:t>
      </w:r>
      <w:r w:rsidRPr="001C228F">
        <w:rPr>
          <w:color w:val="000000" w:themeColor="text1"/>
          <w:szCs w:val="20"/>
        </w:rPr>
        <w:t>).</w:t>
      </w:r>
      <w:r w:rsidRPr="001C228F">
        <w:rPr>
          <w:color w:val="000000" w:themeColor="text1"/>
          <w:szCs w:val="20"/>
        </w:rPr>
        <w:t xml:space="preserve"> Os pacientes do grupo HAE apresentaram melhorias esqueléticas mais expressivas em comparação ao grupo HAD, com reduções significativas no índice </w:t>
      </w:r>
      <w:proofErr w:type="spellStart"/>
      <w:r w:rsidRPr="001C228F">
        <w:rPr>
          <w:color w:val="000000" w:themeColor="text1"/>
          <w:szCs w:val="20"/>
        </w:rPr>
        <w:t>Wits</w:t>
      </w:r>
      <w:proofErr w:type="spellEnd"/>
      <w:r w:rsidRPr="001C228F">
        <w:rPr>
          <w:color w:val="000000" w:themeColor="text1"/>
          <w:szCs w:val="20"/>
        </w:rPr>
        <w:t xml:space="preserve"> (</w:t>
      </w:r>
      <w:r w:rsidRPr="001C228F">
        <w:rPr>
          <w:color w:val="000000" w:themeColor="text1"/>
        </w:rPr>
        <w:t xml:space="preserve">3,14 </w:t>
      </w:r>
      <w:r w:rsidRPr="001C228F">
        <w:rPr>
          <w:color w:val="000000" w:themeColor="text1"/>
          <w:szCs w:val="20"/>
        </w:rPr>
        <w:t>mm) e no ângulo ANB (</w:t>
      </w:r>
      <w:r w:rsidRPr="001C228F">
        <w:rPr>
          <w:color w:val="000000" w:themeColor="text1"/>
        </w:rPr>
        <w:t>-1.93</w:t>
      </w:r>
      <w:r w:rsidRPr="001C228F">
        <w:rPr>
          <w:color w:val="000000" w:themeColor="text1"/>
          <w:szCs w:val="20"/>
        </w:rPr>
        <w:t xml:space="preserve">°), evidenciando a maior eficácia da ancoragem indireta com </w:t>
      </w:r>
      <w:proofErr w:type="spellStart"/>
      <w:r w:rsidRPr="001C228F">
        <w:rPr>
          <w:color w:val="000000" w:themeColor="text1"/>
          <w:szCs w:val="20"/>
        </w:rPr>
        <w:t>mini-implantes</w:t>
      </w:r>
      <w:proofErr w:type="spellEnd"/>
      <w:r w:rsidRPr="001C228F">
        <w:rPr>
          <w:color w:val="000000" w:themeColor="text1"/>
          <w:szCs w:val="20"/>
        </w:rPr>
        <w:t xml:space="preserve">. As mudanças dentárias, como a redução do </w:t>
      </w:r>
      <w:proofErr w:type="spellStart"/>
      <w:r w:rsidRPr="001C228F">
        <w:rPr>
          <w:color w:val="000000" w:themeColor="text1"/>
          <w:szCs w:val="20"/>
        </w:rPr>
        <w:t>overjet</w:t>
      </w:r>
      <w:proofErr w:type="spellEnd"/>
      <w:r w:rsidRPr="001C228F">
        <w:rPr>
          <w:color w:val="000000" w:themeColor="text1"/>
          <w:szCs w:val="20"/>
        </w:rPr>
        <w:t xml:space="preserve"> (</w:t>
      </w:r>
      <w:r w:rsidRPr="001C228F">
        <w:rPr>
          <w:color w:val="000000" w:themeColor="text1"/>
        </w:rPr>
        <w:t xml:space="preserve">3,94 </w:t>
      </w:r>
      <w:r w:rsidRPr="001C228F">
        <w:rPr>
          <w:color w:val="000000" w:themeColor="text1"/>
          <w:szCs w:val="20"/>
        </w:rPr>
        <w:t xml:space="preserve">mm), confirmaram a eficiência dos </w:t>
      </w:r>
      <w:proofErr w:type="spellStart"/>
      <w:r w:rsidRPr="001C228F">
        <w:rPr>
          <w:color w:val="000000" w:themeColor="text1"/>
          <w:szCs w:val="20"/>
        </w:rPr>
        <w:t>DAMs</w:t>
      </w:r>
      <w:proofErr w:type="spellEnd"/>
      <w:r w:rsidRPr="001C228F">
        <w:rPr>
          <w:color w:val="000000" w:themeColor="text1"/>
          <w:szCs w:val="20"/>
        </w:rPr>
        <w:t xml:space="preserve"> na correção de discrepâncias funcionais e estéticas</w:t>
      </w:r>
      <w:r w:rsidRPr="001C228F">
        <w:rPr>
          <w:color w:val="000000" w:themeColor="text1"/>
          <w:szCs w:val="20"/>
        </w:rPr>
        <w:t xml:space="preserve">. </w:t>
      </w:r>
      <w:r w:rsidRPr="001C228F">
        <w:rPr>
          <w:color w:val="000000" w:themeColor="text1"/>
          <w:szCs w:val="20"/>
        </w:rPr>
        <w:t xml:space="preserve">Embora tenha havido aumentos no volume e na área mínima do espaço OF, essas alterações não foram estatisticamente significativas, reforçando a necessidade de estudos complementares sobre o impacto respiratório e acompanhamento a longo prazo dos grupos tratados em comparação a outros </w:t>
      </w:r>
      <w:proofErr w:type="spellStart"/>
      <w:r w:rsidRPr="001C228F">
        <w:rPr>
          <w:color w:val="000000" w:themeColor="text1"/>
          <w:szCs w:val="20"/>
        </w:rPr>
        <w:t>DAMs</w:t>
      </w:r>
      <w:proofErr w:type="spellEnd"/>
      <w:r w:rsidRPr="001C228F">
        <w:rPr>
          <w:color w:val="000000" w:themeColor="text1"/>
          <w:szCs w:val="20"/>
        </w:rPr>
        <w:t xml:space="preserve">. </w:t>
      </w:r>
    </w:p>
    <w:p w:rsidR="00AF5C22" w:rsidRDefault="00AF5C22"/>
    <w:sectPr w:rsidR="00AF5C22" w:rsidSect="002952C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28F"/>
    <w:rsid w:val="001C228F"/>
    <w:rsid w:val="002952CE"/>
    <w:rsid w:val="006851C1"/>
    <w:rsid w:val="00725B72"/>
    <w:rsid w:val="007979B5"/>
    <w:rsid w:val="00AF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5FFA7"/>
  <w15:chartTrackingRefBased/>
  <w15:docId w15:val="{66970667-B089-B74B-BAB1-40BC1BC5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28F"/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C22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C22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C228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n-GB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C228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val="en-GB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C22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val="en-GB"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C22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GB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C22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lang w:val="en-GB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C22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n-GB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C22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lang w:val="en-GB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228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C228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C228F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C228F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C228F"/>
    <w:rPr>
      <w:rFonts w:eastAsiaTheme="majorEastAsia" w:cstheme="majorBidi"/>
      <w:color w:val="0F4761" w:themeColor="accent1" w:themeShade="BF"/>
      <w:lang w:val="en-GB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C228F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C228F"/>
    <w:rPr>
      <w:rFonts w:eastAsiaTheme="majorEastAsia" w:cstheme="majorBidi"/>
      <w:color w:val="595959" w:themeColor="text1" w:themeTint="A6"/>
      <w:lang w:val="en-GB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C228F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C228F"/>
    <w:rPr>
      <w:rFonts w:eastAsiaTheme="majorEastAsia" w:cstheme="majorBidi"/>
      <w:color w:val="272727" w:themeColor="text1" w:themeTint="D8"/>
      <w:lang w:val="en-GB"/>
    </w:rPr>
  </w:style>
  <w:style w:type="paragraph" w:styleId="Ttulo">
    <w:name w:val="Title"/>
    <w:basedOn w:val="Normal"/>
    <w:next w:val="Normal"/>
    <w:link w:val="TtuloChar"/>
    <w:uiPriority w:val="10"/>
    <w:qFormat/>
    <w:rsid w:val="001C22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character" w:customStyle="1" w:styleId="TtuloChar">
    <w:name w:val="Título Char"/>
    <w:basedOn w:val="Fontepargpadro"/>
    <w:link w:val="Ttulo"/>
    <w:uiPriority w:val="10"/>
    <w:rsid w:val="001C228F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tulo">
    <w:name w:val="Subtitle"/>
    <w:basedOn w:val="Normal"/>
    <w:next w:val="Normal"/>
    <w:link w:val="SubttuloChar"/>
    <w:uiPriority w:val="11"/>
    <w:qFormat/>
    <w:rsid w:val="001C228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1C228F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Citao">
    <w:name w:val="Quote"/>
    <w:basedOn w:val="Normal"/>
    <w:next w:val="Normal"/>
    <w:link w:val="CitaoChar"/>
    <w:uiPriority w:val="29"/>
    <w:qFormat/>
    <w:rsid w:val="001C228F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en-GB" w:eastAsia="en-US"/>
    </w:rPr>
  </w:style>
  <w:style w:type="character" w:customStyle="1" w:styleId="CitaoChar">
    <w:name w:val="Citação Char"/>
    <w:basedOn w:val="Fontepargpadro"/>
    <w:link w:val="Citao"/>
    <w:uiPriority w:val="29"/>
    <w:rsid w:val="001C228F"/>
    <w:rPr>
      <w:i/>
      <w:iCs/>
      <w:color w:val="404040" w:themeColor="text1" w:themeTint="BF"/>
      <w:lang w:val="en-GB"/>
    </w:rPr>
  </w:style>
  <w:style w:type="paragraph" w:styleId="PargrafodaLista">
    <w:name w:val="List Paragraph"/>
    <w:basedOn w:val="Normal"/>
    <w:uiPriority w:val="34"/>
    <w:qFormat/>
    <w:rsid w:val="001C228F"/>
    <w:pPr>
      <w:ind w:left="720"/>
      <w:contextualSpacing/>
    </w:pPr>
    <w:rPr>
      <w:rFonts w:asciiTheme="minorHAnsi" w:eastAsiaTheme="minorHAnsi" w:hAnsiTheme="minorHAnsi" w:cstheme="minorBidi"/>
      <w:lang w:val="en-GB" w:eastAsia="en-US"/>
    </w:rPr>
  </w:style>
  <w:style w:type="character" w:styleId="nfaseIntensa">
    <w:name w:val="Intense Emphasis"/>
    <w:basedOn w:val="Fontepargpadro"/>
    <w:uiPriority w:val="21"/>
    <w:qFormat/>
    <w:rsid w:val="001C228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C22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val="en-GB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C228F"/>
    <w:rPr>
      <w:i/>
      <w:iCs/>
      <w:color w:val="0F4761" w:themeColor="accent1" w:themeShade="BF"/>
      <w:lang w:val="en-GB"/>
    </w:rPr>
  </w:style>
  <w:style w:type="character" w:styleId="RefernciaIntensa">
    <w:name w:val="Intense Reference"/>
    <w:basedOn w:val="Fontepargpadro"/>
    <w:uiPriority w:val="32"/>
    <w:qFormat/>
    <w:rsid w:val="001C22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653</Words>
  <Characters>3528</Characters>
  <Application>Microsoft Office Word</Application>
  <DocSecurity>0</DocSecurity>
  <Lines>29</Lines>
  <Paragraphs>8</Paragraphs>
  <ScaleCrop>false</ScaleCrop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Luísa Schubach</dc:creator>
  <cp:keywords/>
  <dc:description/>
  <cp:lastModifiedBy>Luísa Schubach</cp:lastModifiedBy>
  <cp:revision>1</cp:revision>
  <dcterms:created xsi:type="dcterms:W3CDTF">2025-04-14T16:55:00Z</dcterms:created>
  <dcterms:modified xsi:type="dcterms:W3CDTF">2025-04-14T16:56:00Z</dcterms:modified>
</cp:coreProperties>
</file>