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71888" w14:textId="77777777" w:rsidR="003E7944" w:rsidRPr="003E7944" w:rsidRDefault="003E7944" w:rsidP="003E7944">
      <w:pPr>
        <w:jc w:val="center"/>
        <w:rPr>
          <w:rFonts w:cs="Arial"/>
          <w:b/>
          <w:bCs/>
        </w:rPr>
      </w:pPr>
      <w:r w:rsidRPr="003E7944">
        <w:rPr>
          <w:rFonts w:cs="Arial"/>
          <w:b/>
          <w:bCs/>
        </w:rPr>
        <w:t>C</w:t>
      </w:r>
      <w:proofErr w:type="spellStart"/>
      <w:r w:rsidRPr="003E7944">
        <w:rPr>
          <w:rFonts w:cs="Arial"/>
          <w:b/>
          <w:bCs/>
        </w:rPr>
        <w:t>omparação</w:t>
      </w:r>
      <w:proofErr w:type="spellEnd"/>
      <w:r w:rsidRPr="003E7944">
        <w:rPr>
          <w:rFonts w:cs="Arial"/>
          <w:b/>
          <w:bCs/>
        </w:rPr>
        <w:t xml:space="preserve"> tridimensional dos efeitos dos aparelhos </w:t>
      </w:r>
      <w:proofErr w:type="spellStart"/>
      <w:r w:rsidRPr="003E7944">
        <w:rPr>
          <w:rFonts w:cs="Arial"/>
          <w:b/>
          <w:bCs/>
        </w:rPr>
        <w:t>Twin</w:t>
      </w:r>
      <w:proofErr w:type="spellEnd"/>
      <w:r w:rsidRPr="003E7944">
        <w:rPr>
          <w:rFonts w:cs="Arial"/>
          <w:b/>
          <w:bCs/>
        </w:rPr>
        <w:t xml:space="preserve"> </w:t>
      </w:r>
      <w:proofErr w:type="spellStart"/>
      <w:r w:rsidRPr="003E7944">
        <w:rPr>
          <w:rFonts w:cs="Arial"/>
          <w:b/>
          <w:bCs/>
        </w:rPr>
        <w:t>Block</w:t>
      </w:r>
      <w:proofErr w:type="spellEnd"/>
      <w:r w:rsidRPr="003E7944">
        <w:rPr>
          <w:rFonts w:cs="Arial"/>
          <w:b/>
          <w:bCs/>
        </w:rPr>
        <w:t xml:space="preserve"> e de Herbst sobre as vias aéreas de pacientes em crescimento portadores de má oclusão de classe II: estudo clínico randomizado</w:t>
      </w:r>
    </w:p>
    <w:p w14:paraId="144CB769" w14:textId="77777777" w:rsidR="003E7944" w:rsidRDefault="003E7944" w:rsidP="003E7944">
      <w:pPr>
        <w:jc w:val="center"/>
        <w:rPr>
          <w:rFonts w:cs="Arial"/>
          <w:b/>
          <w:bCs/>
        </w:rPr>
      </w:pPr>
    </w:p>
    <w:p w14:paraId="4BC20AFB" w14:textId="77777777" w:rsidR="003E7944" w:rsidRDefault="003E7944" w:rsidP="003E7944">
      <w:pPr>
        <w:jc w:val="center"/>
        <w:rPr>
          <w:rFonts w:cs="Arial"/>
          <w:b/>
          <w:bCs/>
        </w:rPr>
      </w:pPr>
    </w:p>
    <w:p w14:paraId="23393BFE" w14:textId="5E24FB1A" w:rsidR="003E7944" w:rsidRPr="001B10FC" w:rsidRDefault="003E7944" w:rsidP="003E7944">
      <w:pPr>
        <w:jc w:val="center"/>
        <w:rPr>
          <w:rFonts w:cs="Arial"/>
          <w:b/>
          <w:bCs/>
        </w:rPr>
      </w:pPr>
      <w:r w:rsidRPr="001B10FC">
        <w:rPr>
          <w:rFonts w:cs="Arial"/>
          <w:b/>
          <w:bCs/>
        </w:rPr>
        <w:t>Resumo</w:t>
      </w:r>
    </w:p>
    <w:p w14:paraId="65BF4EC5" w14:textId="77777777" w:rsidR="003E7944" w:rsidRPr="001B10FC" w:rsidRDefault="003E7944" w:rsidP="003E7944">
      <w:pPr>
        <w:jc w:val="center"/>
        <w:rPr>
          <w:rFonts w:cs="Arial"/>
          <w:b/>
          <w:bCs/>
        </w:rPr>
      </w:pPr>
    </w:p>
    <w:p w14:paraId="773DD10D" w14:textId="77777777" w:rsidR="003E7944" w:rsidRDefault="003E7944" w:rsidP="003E7944">
      <w:pPr>
        <w:pStyle w:val="Textodecomentrio"/>
        <w:spacing w:line="360" w:lineRule="auto"/>
        <w:jc w:val="both"/>
        <w:rPr>
          <w:rFonts w:cs="Arial"/>
          <w:sz w:val="24"/>
          <w:szCs w:val="24"/>
        </w:rPr>
      </w:pPr>
      <w:r w:rsidRPr="00D747BB">
        <w:rPr>
          <w:rFonts w:cs="Arial"/>
          <w:b/>
          <w:bCs/>
          <w:sz w:val="24"/>
          <w:szCs w:val="24"/>
        </w:rPr>
        <w:t>Introdução:</w:t>
      </w:r>
      <w:r w:rsidRPr="00D747BB">
        <w:rPr>
          <w:rFonts w:cs="Arial"/>
          <w:sz w:val="24"/>
          <w:szCs w:val="24"/>
        </w:rPr>
        <w:t xml:space="preserve"> Este estudo teve o objetivo avaliar tridimensionalmente os efeitos decorrentes do tratamento com </w:t>
      </w:r>
      <w:r>
        <w:rPr>
          <w:rFonts w:cs="Arial"/>
          <w:sz w:val="24"/>
          <w:szCs w:val="24"/>
        </w:rPr>
        <w:t xml:space="preserve">o aparelho funcional </w:t>
      </w:r>
      <w:proofErr w:type="spellStart"/>
      <w:r w:rsidRPr="00D747BB">
        <w:rPr>
          <w:rFonts w:cs="Arial"/>
          <w:i/>
          <w:iCs/>
          <w:sz w:val="24"/>
          <w:szCs w:val="24"/>
        </w:rPr>
        <w:t>Twin</w:t>
      </w:r>
      <w:proofErr w:type="spellEnd"/>
      <w:r w:rsidRPr="00D747BB">
        <w:rPr>
          <w:rFonts w:cs="Arial"/>
          <w:i/>
          <w:iCs/>
          <w:sz w:val="24"/>
          <w:szCs w:val="24"/>
        </w:rPr>
        <w:t xml:space="preserve"> </w:t>
      </w:r>
      <w:proofErr w:type="spellStart"/>
      <w:r w:rsidRPr="00D747BB">
        <w:rPr>
          <w:rFonts w:cs="Arial"/>
          <w:i/>
          <w:iCs/>
          <w:sz w:val="24"/>
          <w:szCs w:val="24"/>
        </w:rPr>
        <w:t>Block</w:t>
      </w:r>
      <w:proofErr w:type="spellEnd"/>
      <w:r w:rsidRPr="00D747BB">
        <w:rPr>
          <w:rFonts w:cs="Arial"/>
          <w:sz w:val="24"/>
          <w:szCs w:val="24"/>
        </w:rPr>
        <w:t xml:space="preserve"> (TB) e aparelho de </w:t>
      </w:r>
      <w:r w:rsidRPr="00D747BB">
        <w:rPr>
          <w:rFonts w:cs="Arial"/>
          <w:i/>
          <w:iCs/>
          <w:sz w:val="24"/>
          <w:szCs w:val="24"/>
        </w:rPr>
        <w:t>Herbst</w:t>
      </w:r>
      <w:r w:rsidRPr="00D747BB">
        <w:rPr>
          <w:rFonts w:cs="Arial"/>
          <w:sz w:val="24"/>
          <w:szCs w:val="24"/>
        </w:rPr>
        <w:t xml:space="preserve"> (</w:t>
      </w:r>
      <w:r>
        <w:rPr>
          <w:rFonts w:cs="Arial"/>
          <w:sz w:val="24"/>
          <w:szCs w:val="24"/>
        </w:rPr>
        <w:t>AH</w:t>
      </w:r>
      <w:r w:rsidRPr="00D747BB">
        <w:rPr>
          <w:rFonts w:cs="Arial"/>
          <w:sz w:val="24"/>
          <w:szCs w:val="24"/>
        </w:rPr>
        <w:t>)</w:t>
      </w:r>
      <w:r>
        <w:rPr>
          <w:rFonts w:cs="Arial"/>
          <w:sz w:val="24"/>
          <w:szCs w:val="24"/>
        </w:rPr>
        <w:t>,</w:t>
      </w:r>
      <w:r w:rsidRPr="00D747BB">
        <w:rPr>
          <w:rFonts w:cs="Arial"/>
          <w:sz w:val="24"/>
          <w:szCs w:val="24"/>
        </w:rPr>
        <w:t xml:space="preserve"> sobre a via aérea superior (VAS) de pacientes</w:t>
      </w:r>
      <w:r>
        <w:rPr>
          <w:rFonts w:cs="Arial"/>
          <w:sz w:val="24"/>
          <w:szCs w:val="24"/>
        </w:rPr>
        <w:t xml:space="preserve"> </w:t>
      </w:r>
      <w:r w:rsidRPr="00D747BB">
        <w:rPr>
          <w:rFonts w:cs="Arial"/>
          <w:sz w:val="24"/>
          <w:szCs w:val="24"/>
        </w:rPr>
        <w:t xml:space="preserve">Classe II em crescimento. </w:t>
      </w:r>
      <w:r w:rsidRPr="00D747BB">
        <w:rPr>
          <w:rFonts w:cs="Arial"/>
          <w:b/>
          <w:bCs/>
          <w:sz w:val="24"/>
          <w:szCs w:val="24"/>
        </w:rPr>
        <w:t>Métodos</w:t>
      </w:r>
      <w:r w:rsidRPr="00D747BB">
        <w:rPr>
          <w:rFonts w:cs="Arial"/>
          <w:sz w:val="24"/>
          <w:szCs w:val="24"/>
        </w:rPr>
        <w:t xml:space="preserve">: </w:t>
      </w:r>
      <w:r>
        <w:rPr>
          <w:rFonts w:cs="Arial"/>
          <w:sz w:val="24"/>
          <w:szCs w:val="24"/>
        </w:rPr>
        <w:t>T</w:t>
      </w:r>
      <w:r w:rsidRPr="00D747BB">
        <w:rPr>
          <w:rFonts w:cs="Arial"/>
          <w:sz w:val="24"/>
          <w:szCs w:val="24"/>
        </w:rPr>
        <w:t xml:space="preserve">rata-se de um estudo clínico prospectivo randomizado controlado </w:t>
      </w:r>
      <w:proofErr w:type="spellStart"/>
      <w:r w:rsidRPr="00D747BB">
        <w:rPr>
          <w:rFonts w:cs="Arial"/>
          <w:sz w:val="24"/>
          <w:szCs w:val="24"/>
        </w:rPr>
        <w:t>unicêntrico</w:t>
      </w:r>
      <w:proofErr w:type="spellEnd"/>
      <w:r w:rsidRPr="00D747BB">
        <w:rPr>
          <w:rFonts w:cs="Arial"/>
          <w:sz w:val="24"/>
          <w:szCs w:val="24"/>
        </w:rPr>
        <w:t xml:space="preserve">. Quarenta pacientes </w:t>
      </w:r>
      <w:r>
        <w:rPr>
          <w:rFonts w:cs="Arial"/>
          <w:sz w:val="24"/>
          <w:szCs w:val="24"/>
        </w:rPr>
        <w:t>com</w:t>
      </w:r>
      <w:r w:rsidRPr="00D747BB">
        <w:rPr>
          <w:rFonts w:cs="Arial"/>
          <w:sz w:val="24"/>
          <w:szCs w:val="24"/>
        </w:rPr>
        <w:t xml:space="preserve"> má oclusão de Classe II em crescimento foram randomizados em </w:t>
      </w:r>
      <w:r>
        <w:rPr>
          <w:rFonts w:cs="Arial"/>
          <w:sz w:val="24"/>
          <w:szCs w:val="24"/>
        </w:rPr>
        <w:t>dois</w:t>
      </w:r>
      <w:r w:rsidRPr="00D747BB">
        <w:rPr>
          <w:rFonts w:cs="Arial"/>
          <w:sz w:val="24"/>
          <w:szCs w:val="24"/>
        </w:rPr>
        <w:t xml:space="preserve"> grupos. O recrutamento foi realizado na Clínica de </w:t>
      </w:r>
      <w:r>
        <w:rPr>
          <w:rFonts w:cs="Arial"/>
          <w:sz w:val="24"/>
          <w:szCs w:val="24"/>
        </w:rPr>
        <w:t>E</w:t>
      </w:r>
      <w:r w:rsidRPr="00D747BB">
        <w:rPr>
          <w:rFonts w:cs="Arial"/>
          <w:sz w:val="24"/>
          <w:szCs w:val="24"/>
        </w:rPr>
        <w:t xml:space="preserve">specialização em Ortodontia da Faculdade de Odontologia da Universidade do Estado do Rio de Janeiro (FOUERJ). Os grupos TB e </w:t>
      </w:r>
      <w:r>
        <w:rPr>
          <w:rFonts w:cs="Arial"/>
          <w:sz w:val="24"/>
          <w:szCs w:val="24"/>
        </w:rPr>
        <w:t>AH</w:t>
      </w:r>
      <w:r w:rsidRPr="00D747BB">
        <w:rPr>
          <w:rFonts w:cs="Arial"/>
          <w:sz w:val="24"/>
          <w:szCs w:val="24"/>
        </w:rPr>
        <w:t xml:space="preserve"> foram compostos por pacientes Classe II</w:t>
      </w:r>
      <w:r>
        <w:rPr>
          <w:rFonts w:cs="Arial"/>
          <w:sz w:val="24"/>
          <w:szCs w:val="24"/>
        </w:rPr>
        <w:t>,</w:t>
      </w:r>
      <w:r w:rsidRPr="00D747BB">
        <w:rPr>
          <w:rFonts w:cs="Arial"/>
          <w:sz w:val="24"/>
          <w:szCs w:val="24"/>
        </w:rPr>
        <w:t xml:space="preserve"> no pico do surto de crescimento, com dentição permanente e </w:t>
      </w:r>
      <w:proofErr w:type="spellStart"/>
      <w:r w:rsidRPr="005736F9">
        <w:rPr>
          <w:rFonts w:cs="Arial"/>
          <w:i/>
          <w:iCs/>
          <w:sz w:val="24"/>
          <w:szCs w:val="24"/>
        </w:rPr>
        <w:t>overjet</w:t>
      </w:r>
      <w:proofErr w:type="spellEnd"/>
      <w:r w:rsidRPr="00D747BB">
        <w:rPr>
          <w:rFonts w:cs="Arial"/>
          <w:sz w:val="24"/>
          <w:szCs w:val="24"/>
        </w:rPr>
        <w:t xml:space="preserve"> ≥ 6</w:t>
      </w:r>
      <w:r>
        <w:rPr>
          <w:rFonts w:cs="Arial"/>
          <w:sz w:val="24"/>
          <w:szCs w:val="24"/>
        </w:rPr>
        <w:t xml:space="preserve"> </w:t>
      </w:r>
      <w:r w:rsidRPr="00D747BB">
        <w:rPr>
          <w:rFonts w:cs="Arial"/>
          <w:sz w:val="24"/>
          <w:szCs w:val="24"/>
        </w:rPr>
        <w:t xml:space="preserve">mm. Os desfechos primários foram o aumento de área axial mínima (AAmin) e volume (Vol) da VAS. </w:t>
      </w:r>
      <w:r>
        <w:rPr>
          <w:rFonts w:cs="Arial"/>
          <w:sz w:val="24"/>
          <w:szCs w:val="24"/>
        </w:rPr>
        <w:t xml:space="preserve">Os desfechos secundários incluíram redução de </w:t>
      </w:r>
      <w:proofErr w:type="spellStart"/>
      <w:r>
        <w:rPr>
          <w:rFonts w:cs="Arial"/>
          <w:sz w:val="24"/>
          <w:szCs w:val="24"/>
        </w:rPr>
        <w:t>overjet</w:t>
      </w:r>
      <w:proofErr w:type="spellEnd"/>
      <w:r>
        <w:rPr>
          <w:rFonts w:cs="Arial"/>
          <w:sz w:val="24"/>
          <w:szCs w:val="24"/>
        </w:rPr>
        <w:t xml:space="preserve"> e </w:t>
      </w:r>
      <w:proofErr w:type="spellStart"/>
      <w:r>
        <w:rPr>
          <w:rFonts w:cs="Arial"/>
          <w:sz w:val="24"/>
          <w:szCs w:val="24"/>
        </w:rPr>
        <w:t>overbite</w:t>
      </w:r>
      <w:proofErr w:type="spellEnd"/>
      <w:r>
        <w:rPr>
          <w:rFonts w:cs="Arial"/>
          <w:sz w:val="24"/>
          <w:szCs w:val="24"/>
        </w:rPr>
        <w:t xml:space="preserve">. </w:t>
      </w:r>
      <w:r w:rsidRPr="00D747BB">
        <w:rPr>
          <w:rFonts w:cs="Arial"/>
          <w:sz w:val="24"/>
          <w:szCs w:val="24"/>
        </w:rPr>
        <w:t>A alocação foi realizada através de randomização em blocos, e o cegamento foi feito apenas para a análise da VAS. Para avaliação dos dados, foi realizada imputação de dados por análise de intenção de tratamento. Para a análise intragrupos fo</w:t>
      </w:r>
      <w:r>
        <w:rPr>
          <w:rFonts w:cs="Arial"/>
          <w:sz w:val="24"/>
          <w:szCs w:val="24"/>
        </w:rPr>
        <w:t>i</w:t>
      </w:r>
      <w:r w:rsidRPr="00D747BB">
        <w:rPr>
          <w:rFonts w:cs="Arial"/>
          <w:sz w:val="24"/>
          <w:szCs w:val="24"/>
        </w:rPr>
        <w:t xml:space="preserve"> aplicado o teste de </w:t>
      </w:r>
      <w:r w:rsidRPr="00A5155D">
        <w:rPr>
          <w:rFonts w:cs="Arial"/>
          <w:i/>
          <w:iCs/>
          <w:sz w:val="24"/>
          <w:szCs w:val="24"/>
        </w:rPr>
        <w:t>Wilcoxon</w:t>
      </w:r>
      <w:r w:rsidRPr="00D747BB">
        <w:rPr>
          <w:rFonts w:cs="Arial"/>
          <w:sz w:val="24"/>
          <w:szCs w:val="24"/>
        </w:rPr>
        <w:t xml:space="preserve">; enquanto para a análise intergrupos foi aplicado o teste de </w:t>
      </w:r>
      <w:r w:rsidRPr="00A5155D">
        <w:rPr>
          <w:rFonts w:cs="Arial"/>
          <w:i/>
          <w:iCs/>
          <w:sz w:val="24"/>
          <w:szCs w:val="24"/>
        </w:rPr>
        <w:t>Mann-Whitney</w:t>
      </w:r>
      <w:r w:rsidRPr="00D747BB">
        <w:rPr>
          <w:rFonts w:cs="Arial"/>
          <w:sz w:val="24"/>
          <w:szCs w:val="24"/>
        </w:rPr>
        <w:t xml:space="preserve"> considerando nível de significância de p ≤ 0</w:t>
      </w:r>
      <w:r>
        <w:rPr>
          <w:rFonts w:cs="Arial"/>
          <w:sz w:val="24"/>
          <w:szCs w:val="24"/>
        </w:rPr>
        <w:t>,</w:t>
      </w:r>
      <w:r w:rsidRPr="00D747BB">
        <w:rPr>
          <w:rFonts w:cs="Arial"/>
          <w:sz w:val="24"/>
          <w:szCs w:val="24"/>
        </w:rPr>
        <w:t>05.</w:t>
      </w:r>
      <w:r w:rsidRPr="00D747BB">
        <w:rPr>
          <w:rFonts w:cs="Arial"/>
          <w:b/>
          <w:bCs/>
          <w:sz w:val="24"/>
          <w:szCs w:val="24"/>
        </w:rPr>
        <w:t xml:space="preserve">  Resultados</w:t>
      </w:r>
      <w:r w:rsidRPr="00D747BB">
        <w:rPr>
          <w:rFonts w:cs="Arial"/>
          <w:sz w:val="24"/>
          <w:szCs w:val="24"/>
        </w:rPr>
        <w:t>: o grupo TB foi composto por 20 pacientes (</w:t>
      </w:r>
      <w:r>
        <w:rPr>
          <w:rFonts w:cs="Arial"/>
          <w:sz w:val="24"/>
          <w:szCs w:val="24"/>
        </w:rPr>
        <w:t>oito</w:t>
      </w:r>
      <w:r w:rsidRPr="00D747BB">
        <w:rPr>
          <w:rFonts w:cs="Arial"/>
          <w:sz w:val="24"/>
          <w:szCs w:val="24"/>
        </w:rPr>
        <w:t xml:space="preserve"> do sexo feminino, 12 do sexo masculino; média de idade de </w:t>
      </w:r>
      <w:r w:rsidRPr="003E7944">
        <w:rPr>
          <w:rFonts w:cs="Arial"/>
          <w:sz w:val="24"/>
          <w:szCs w:val="24"/>
        </w:rPr>
        <w:t xml:space="preserve">12,2 ± 0,82 anos), </w:t>
      </w:r>
      <w:r w:rsidRPr="00D747BB">
        <w:rPr>
          <w:rFonts w:cs="Arial"/>
          <w:sz w:val="24"/>
          <w:szCs w:val="24"/>
        </w:rPr>
        <w:t xml:space="preserve">enquanto o grupo </w:t>
      </w:r>
      <w:r>
        <w:rPr>
          <w:rFonts w:cs="Arial"/>
          <w:sz w:val="24"/>
          <w:szCs w:val="24"/>
        </w:rPr>
        <w:t>AH</w:t>
      </w:r>
      <w:r w:rsidRPr="00D747BB">
        <w:rPr>
          <w:rFonts w:cs="Arial"/>
          <w:sz w:val="24"/>
          <w:szCs w:val="24"/>
        </w:rPr>
        <w:t xml:space="preserve"> foi composto por 20 pacientes (</w:t>
      </w:r>
      <w:r>
        <w:rPr>
          <w:rFonts w:cs="Arial"/>
          <w:sz w:val="24"/>
          <w:szCs w:val="24"/>
        </w:rPr>
        <w:t>oito</w:t>
      </w:r>
      <w:r w:rsidRPr="00D747BB">
        <w:rPr>
          <w:rFonts w:cs="Arial"/>
          <w:sz w:val="24"/>
          <w:szCs w:val="24"/>
        </w:rPr>
        <w:t xml:space="preserve"> do sexo feminino, 12 do sexo masculino; média de idade de 12</w:t>
      </w:r>
      <w:r>
        <w:rPr>
          <w:rFonts w:cs="Arial"/>
          <w:sz w:val="24"/>
          <w:szCs w:val="24"/>
        </w:rPr>
        <w:t>,</w:t>
      </w:r>
      <w:r w:rsidRPr="00D747BB">
        <w:rPr>
          <w:rFonts w:cs="Arial"/>
          <w:sz w:val="24"/>
          <w:szCs w:val="24"/>
        </w:rPr>
        <w:t xml:space="preserve">5 ± 1.06 anos). Ambos os grupos apresentaram aumento de AAmin e Vol em nasofaringe (NF), orofaringe (OF) e hipofaringe (HF). Apenas Vol em NF no grupo </w:t>
      </w:r>
      <w:r>
        <w:rPr>
          <w:rFonts w:cs="Arial"/>
          <w:sz w:val="24"/>
          <w:szCs w:val="24"/>
        </w:rPr>
        <w:t>AH</w:t>
      </w:r>
      <w:r w:rsidRPr="00D747BB">
        <w:rPr>
          <w:rFonts w:cs="Arial"/>
          <w:sz w:val="24"/>
          <w:szCs w:val="24"/>
        </w:rPr>
        <w:t xml:space="preserve"> não demonstrou aumento estatisticamente significativo (p = </w:t>
      </w:r>
      <w:r w:rsidRPr="001677B9">
        <w:rPr>
          <w:rFonts w:cs="Arial"/>
          <w:sz w:val="24"/>
          <w:szCs w:val="24"/>
        </w:rPr>
        <w:t>0</w:t>
      </w:r>
      <w:r>
        <w:rPr>
          <w:rFonts w:cs="Arial"/>
          <w:sz w:val="24"/>
          <w:szCs w:val="24"/>
        </w:rPr>
        <w:t>,</w:t>
      </w:r>
      <w:r w:rsidRPr="001677B9">
        <w:rPr>
          <w:rFonts w:cs="Arial"/>
          <w:sz w:val="24"/>
          <w:szCs w:val="24"/>
        </w:rPr>
        <w:t>352</w:t>
      </w:r>
      <w:r w:rsidRPr="00D747BB">
        <w:rPr>
          <w:rFonts w:cs="Arial"/>
          <w:sz w:val="24"/>
          <w:szCs w:val="24"/>
        </w:rPr>
        <w:t>). O</w:t>
      </w:r>
      <w:r>
        <w:rPr>
          <w:rFonts w:cs="Arial"/>
          <w:sz w:val="24"/>
          <w:szCs w:val="24"/>
        </w:rPr>
        <w:t>s</w:t>
      </w:r>
      <w:r w:rsidRPr="00D747BB">
        <w:rPr>
          <w:rFonts w:cs="Arial"/>
          <w:sz w:val="24"/>
          <w:szCs w:val="24"/>
        </w:rPr>
        <w:t xml:space="preserve"> maior</w:t>
      </w:r>
      <w:r>
        <w:rPr>
          <w:rFonts w:cs="Arial"/>
          <w:sz w:val="24"/>
          <w:szCs w:val="24"/>
        </w:rPr>
        <w:t>es</w:t>
      </w:r>
      <w:r w:rsidRPr="00D747BB">
        <w:rPr>
          <w:rFonts w:cs="Arial"/>
          <w:sz w:val="24"/>
          <w:szCs w:val="24"/>
        </w:rPr>
        <w:t xml:space="preserve"> aumento</w:t>
      </w:r>
      <w:r>
        <w:rPr>
          <w:rFonts w:cs="Arial"/>
          <w:sz w:val="24"/>
          <w:szCs w:val="24"/>
        </w:rPr>
        <w:t>s</w:t>
      </w:r>
      <w:r w:rsidRPr="00D747BB">
        <w:rPr>
          <w:rFonts w:cs="Arial"/>
          <w:sz w:val="24"/>
          <w:szCs w:val="24"/>
        </w:rPr>
        <w:t xml:space="preserve"> de AAmin e Vol comparando mediana entre pós (T2) e pré-tratamento (T1) de ambos os grupos, fo</w:t>
      </w:r>
      <w:r>
        <w:rPr>
          <w:rFonts w:cs="Arial"/>
          <w:sz w:val="24"/>
          <w:szCs w:val="24"/>
        </w:rPr>
        <w:t>ram em</w:t>
      </w:r>
      <w:r w:rsidRPr="00D747BB">
        <w:rPr>
          <w:rFonts w:cs="Arial"/>
          <w:sz w:val="24"/>
          <w:szCs w:val="24"/>
        </w:rPr>
        <w:t xml:space="preserve"> NF (Vol = 1033 mm³) e HF (AAmin = 40 mm²) para o grupo TB; enquanto para o grupo </w:t>
      </w:r>
      <w:r>
        <w:rPr>
          <w:rFonts w:cs="Arial"/>
          <w:sz w:val="24"/>
          <w:szCs w:val="24"/>
        </w:rPr>
        <w:t>AH</w:t>
      </w:r>
      <w:r w:rsidRPr="00D747BB">
        <w:rPr>
          <w:rFonts w:cs="Arial"/>
          <w:sz w:val="24"/>
          <w:szCs w:val="24"/>
        </w:rPr>
        <w:t xml:space="preserve"> os maiores aumentos médios foram em NF (AAmin = 30 mm²), OF (AAmin = 45 mm² e Vol = 1912 mm³) e HF (Vol = 949 mm³). Ao comparar os efeitos sobre a VAS do grupo TB com os do grupo </w:t>
      </w:r>
      <w:r>
        <w:rPr>
          <w:rFonts w:cs="Arial"/>
          <w:sz w:val="24"/>
          <w:szCs w:val="24"/>
        </w:rPr>
        <w:t>AH</w:t>
      </w:r>
      <w:r w:rsidRPr="00D747BB">
        <w:rPr>
          <w:rFonts w:cs="Arial"/>
          <w:sz w:val="24"/>
          <w:szCs w:val="24"/>
        </w:rPr>
        <w:t xml:space="preserve">, não houve diferença significativa para AAmin e </w:t>
      </w:r>
      <w:r w:rsidRPr="00D747BB">
        <w:rPr>
          <w:rFonts w:cs="Arial"/>
          <w:sz w:val="24"/>
          <w:szCs w:val="24"/>
        </w:rPr>
        <w:lastRenderedPageBreak/>
        <w:t>Vol em NF, OF e HF (p &gt;</w:t>
      </w:r>
      <w:r>
        <w:rPr>
          <w:rFonts w:cs="Arial"/>
          <w:sz w:val="24"/>
          <w:szCs w:val="24"/>
        </w:rPr>
        <w:t xml:space="preserve"> </w:t>
      </w:r>
      <w:r w:rsidRPr="00D747BB">
        <w:rPr>
          <w:rFonts w:cs="Arial"/>
          <w:sz w:val="24"/>
          <w:szCs w:val="24"/>
        </w:rPr>
        <w:t>0</w:t>
      </w:r>
      <w:r>
        <w:rPr>
          <w:rFonts w:cs="Arial"/>
          <w:sz w:val="24"/>
          <w:szCs w:val="24"/>
        </w:rPr>
        <w:t>,</w:t>
      </w:r>
      <w:r w:rsidRPr="00D747BB">
        <w:rPr>
          <w:rFonts w:cs="Arial"/>
          <w:sz w:val="24"/>
          <w:szCs w:val="24"/>
        </w:rPr>
        <w:t xml:space="preserve">05). Ambos os grupos reduziram o </w:t>
      </w:r>
      <w:proofErr w:type="spellStart"/>
      <w:r w:rsidRPr="00D747BB">
        <w:rPr>
          <w:rFonts w:cs="Arial"/>
          <w:i/>
          <w:iCs/>
          <w:sz w:val="24"/>
          <w:szCs w:val="24"/>
        </w:rPr>
        <w:t>overjet</w:t>
      </w:r>
      <w:proofErr w:type="spellEnd"/>
      <w:r w:rsidRPr="00D747BB">
        <w:rPr>
          <w:rFonts w:cs="Arial"/>
          <w:sz w:val="24"/>
          <w:szCs w:val="24"/>
        </w:rPr>
        <w:t xml:space="preserve"> de maneira estatisticamente significativa</w:t>
      </w:r>
      <w:r>
        <w:rPr>
          <w:rFonts w:cs="Arial"/>
          <w:sz w:val="24"/>
          <w:szCs w:val="24"/>
        </w:rPr>
        <w:t xml:space="preserve"> </w:t>
      </w:r>
      <w:r w:rsidRPr="00D747BB">
        <w:rPr>
          <w:rFonts w:cs="Arial"/>
          <w:sz w:val="24"/>
          <w:szCs w:val="24"/>
        </w:rPr>
        <w:t>(p &lt; 0</w:t>
      </w:r>
      <w:r>
        <w:rPr>
          <w:rFonts w:cs="Arial"/>
          <w:sz w:val="24"/>
          <w:szCs w:val="24"/>
        </w:rPr>
        <w:t>,</w:t>
      </w:r>
      <w:r w:rsidRPr="00D747BB">
        <w:rPr>
          <w:rFonts w:cs="Arial"/>
          <w:sz w:val="24"/>
          <w:szCs w:val="24"/>
        </w:rPr>
        <w:t xml:space="preserve">001). O </w:t>
      </w:r>
      <w:proofErr w:type="spellStart"/>
      <w:r w:rsidRPr="00D747BB">
        <w:rPr>
          <w:rFonts w:cs="Arial"/>
          <w:i/>
          <w:iCs/>
          <w:sz w:val="24"/>
          <w:szCs w:val="24"/>
        </w:rPr>
        <w:t>overjet</w:t>
      </w:r>
      <w:proofErr w:type="spellEnd"/>
      <w:r w:rsidRPr="00D747BB">
        <w:rPr>
          <w:rFonts w:cs="Arial"/>
          <w:i/>
          <w:iCs/>
          <w:sz w:val="24"/>
          <w:szCs w:val="24"/>
        </w:rPr>
        <w:t xml:space="preserve"> </w:t>
      </w:r>
      <w:r w:rsidRPr="00D747BB">
        <w:rPr>
          <w:rFonts w:cs="Arial"/>
          <w:sz w:val="24"/>
          <w:szCs w:val="24"/>
        </w:rPr>
        <w:t>red</w:t>
      </w:r>
      <w:r w:rsidRPr="005736F9">
        <w:rPr>
          <w:rFonts w:cs="Arial"/>
          <w:sz w:val="24"/>
          <w:szCs w:val="24"/>
        </w:rPr>
        <w:t>uziu 5,03 mm</w:t>
      </w:r>
      <w:r w:rsidRPr="00D747BB">
        <w:rPr>
          <w:rFonts w:cs="Arial"/>
          <w:sz w:val="24"/>
          <w:szCs w:val="24"/>
        </w:rPr>
        <w:t xml:space="preserve"> em média no grupo TB, e 4</w:t>
      </w:r>
      <w:r>
        <w:rPr>
          <w:rFonts w:cs="Arial"/>
          <w:sz w:val="24"/>
          <w:szCs w:val="24"/>
        </w:rPr>
        <w:t>,</w:t>
      </w:r>
      <w:r w:rsidRPr="00D747BB">
        <w:rPr>
          <w:rFonts w:cs="Arial"/>
          <w:sz w:val="24"/>
          <w:szCs w:val="24"/>
        </w:rPr>
        <w:t xml:space="preserve">01 no grupo </w:t>
      </w:r>
      <w:r>
        <w:rPr>
          <w:rFonts w:cs="Arial"/>
          <w:sz w:val="24"/>
          <w:szCs w:val="24"/>
        </w:rPr>
        <w:t xml:space="preserve">AH. </w:t>
      </w:r>
      <w:r w:rsidRPr="00D747BB">
        <w:rPr>
          <w:rFonts w:cs="Arial"/>
          <w:b/>
          <w:bCs/>
          <w:sz w:val="24"/>
          <w:szCs w:val="24"/>
        </w:rPr>
        <w:t>Conclusões:</w:t>
      </w:r>
      <w:r w:rsidRPr="00D747BB">
        <w:rPr>
          <w:rFonts w:cs="Arial"/>
          <w:sz w:val="24"/>
          <w:szCs w:val="24"/>
        </w:rPr>
        <w:t xml:space="preserve"> Os grupos TB e </w:t>
      </w:r>
      <w:r>
        <w:rPr>
          <w:rFonts w:cs="Arial"/>
          <w:sz w:val="24"/>
          <w:szCs w:val="24"/>
        </w:rPr>
        <w:t>AH</w:t>
      </w:r>
      <w:r w:rsidRPr="00D747BB">
        <w:rPr>
          <w:rFonts w:cs="Arial"/>
          <w:sz w:val="24"/>
          <w:szCs w:val="24"/>
        </w:rPr>
        <w:t xml:space="preserve"> aumentaram a VAS</w:t>
      </w:r>
      <w:r>
        <w:rPr>
          <w:rFonts w:cs="Arial"/>
          <w:sz w:val="24"/>
          <w:szCs w:val="24"/>
        </w:rPr>
        <w:t xml:space="preserve">, porém </w:t>
      </w:r>
      <w:r w:rsidRPr="00D747BB">
        <w:rPr>
          <w:rFonts w:cs="Arial"/>
          <w:sz w:val="24"/>
          <w:szCs w:val="24"/>
        </w:rPr>
        <w:t xml:space="preserve">sem diferenças entre si, com vantagem </w:t>
      </w:r>
      <w:r>
        <w:rPr>
          <w:rFonts w:cs="Arial"/>
          <w:sz w:val="24"/>
          <w:szCs w:val="24"/>
        </w:rPr>
        <w:t>no</w:t>
      </w:r>
      <w:r w:rsidRPr="00D747BB">
        <w:rPr>
          <w:rFonts w:cs="Arial"/>
          <w:sz w:val="24"/>
          <w:szCs w:val="24"/>
        </w:rPr>
        <w:t xml:space="preserve"> aumento de </w:t>
      </w:r>
      <w:r>
        <w:rPr>
          <w:rFonts w:cs="Arial"/>
          <w:sz w:val="24"/>
          <w:szCs w:val="24"/>
        </w:rPr>
        <w:t>Vol</w:t>
      </w:r>
      <w:r w:rsidRPr="00D747BB">
        <w:rPr>
          <w:rFonts w:cs="Arial"/>
          <w:sz w:val="24"/>
          <w:szCs w:val="24"/>
        </w:rPr>
        <w:t xml:space="preserve"> estatisticamente para NF</w:t>
      </w:r>
      <w:r>
        <w:rPr>
          <w:rFonts w:cs="Arial"/>
          <w:sz w:val="24"/>
          <w:szCs w:val="24"/>
        </w:rPr>
        <w:t xml:space="preserve"> no grupo TB</w:t>
      </w:r>
      <w:r w:rsidRPr="00D747BB">
        <w:rPr>
          <w:rFonts w:cs="Arial"/>
          <w:sz w:val="24"/>
          <w:szCs w:val="24"/>
        </w:rPr>
        <w:t xml:space="preserve">. Ambos os aparelhos foram eficazes na redução do </w:t>
      </w:r>
      <w:proofErr w:type="spellStart"/>
      <w:r w:rsidRPr="00D747BB">
        <w:rPr>
          <w:rFonts w:cs="Arial"/>
          <w:i/>
          <w:iCs/>
          <w:sz w:val="24"/>
          <w:szCs w:val="24"/>
        </w:rPr>
        <w:t>overjet</w:t>
      </w:r>
      <w:proofErr w:type="spellEnd"/>
      <w:r w:rsidRPr="00D747BB">
        <w:rPr>
          <w:rFonts w:cs="Arial"/>
          <w:sz w:val="24"/>
          <w:szCs w:val="24"/>
        </w:rPr>
        <w:t xml:space="preserve">. </w:t>
      </w:r>
      <w:r w:rsidRPr="00D747BB">
        <w:rPr>
          <w:rFonts w:cs="Arial"/>
          <w:b/>
          <w:bCs/>
          <w:sz w:val="24"/>
          <w:szCs w:val="24"/>
        </w:rPr>
        <w:t>Registro:</w:t>
      </w:r>
      <w:r w:rsidRPr="00D747BB">
        <w:rPr>
          <w:rFonts w:cs="Arial"/>
          <w:sz w:val="24"/>
          <w:szCs w:val="24"/>
        </w:rPr>
        <w:t xml:space="preserve"> O estudo foi registrado no </w:t>
      </w:r>
      <w:hyperlink r:id="rId4" w:tgtFrame="_new" w:history="1">
        <w:r w:rsidRPr="00D747BB">
          <w:rPr>
            <w:rStyle w:val="Hyperlink"/>
            <w:rFonts w:cs="Arial"/>
            <w:sz w:val="24"/>
            <w:szCs w:val="24"/>
          </w:rPr>
          <w:t>http://ClinicalTrials.gov</w:t>
        </w:r>
      </w:hyperlink>
      <w:r w:rsidRPr="00D747BB">
        <w:rPr>
          <w:rFonts w:cs="Arial"/>
          <w:sz w:val="24"/>
          <w:szCs w:val="24"/>
        </w:rPr>
        <w:t xml:space="preserve">, sob o identificador NCT02411812. </w:t>
      </w:r>
      <w:r w:rsidRPr="00D747BB">
        <w:rPr>
          <w:rFonts w:cs="Arial"/>
          <w:b/>
          <w:bCs/>
          <w:sz w:val="24"/>
          <w:szCs w:val="24"/>
        </w:rPr>
        <w:t>Protocolo:</w:t>
      </w:r>
      <w:r w:rsidRPr="00D747BB">
        <w:rPr>
          <w:rFonts w:cs="Arial"/>
          <w:sz w:val="24"/>
          <w:szCs w:val="24"/>
        </w:rPr>
        <w:t xml:space="preserve"> O protocolo deste estudo não foi publicado</w:t>
      </w:r>
      <w:r w:rsidRPr="00D747BB">
        <w:rPr>
          <w:rFonts w:cs="Arial"/>
          <w:b/>
          <w:bCs/>
          <w:sz w:val="24"/>
          <w:szCs w:val="24"/>
        </w:rPr>
        <w:t>. Financiamento:</w:t>
      </w:r>
      <w:r w:rsidRPr="00D747BB">
        <w:rPr>
          <w:rFonts w:cs="Arial"/>
          <w:sz w:val="24"/>
          <w:szCs w:val="24"/>
        </w:rPr>
        <w:t xml:space="preserve"> Este estudo foi financiado em parte pela Coordenação de Aperfeiçoamento de Pessoal de Nível Superior, Brasil (CAPES) - Código 001.</w:t>
      </w:r>
    </w:p>
    <w:p w14:paraId="1989D8BC" w14:textId="77777777" w:rsidR="003E7944" w:rsidRPr="009D3E08" w:rsidRDefault="003E7944" w:rsidP="003E7944">
      <w:pPr>
        <w:pStyle w:val="Textodecomentrio"/>
        <w:spacing w:line="360" w:lineRule="auto"/>
        <w:jc w:val="both"/>
        <w:rPr>
          <w:rFonts w:cs="Arial"/>
          <w:sz w:val="24"/>
          <w:szCs w:val="24"/>
        </w:rPr>
      </w:pPr>
    </w:p>
    <w:p w14:paraId="584C6542" w14:textId="77777777" w:rsidR="003E7944" w:rsidRDefault="003E7944" w:rsidP="003E7944">
      <w:pPr>
        <w:spacing w:line="360" w:lineRule="auto"/>
        <w:jc w:val="both"/>
        <w:rPr>
          <w:rFonts w:cs="Arial"/>
          <w:shd w:val="clear" w:color="auto" w:fill="FFFFFF"/>
        </w:rPr>
      </w:pPr>
      <w:r w:rsidRPr="009D3E08">
        <w:rPr>
          <w:rFonts w:cs="Arial"/>
          <w:b/>
        </w:rPr>
        <w:t>Palavras-chave:</w:t>
      </w:r>
      <w:r w:rsidRPr="009D3E08">
        <w:rPr>
          <w:rFonts w:cs="Arial"/>
          <w:bCs/>
        </w:rPr>
        <w:t xml:space="preserve"> </w:t>
      </w:r>
      <w:r w:rsidRPr="009D3E08">
        <w:rPr>
          <w:rFonts w:cs="Arial"/>
          <w:shd w:val="clear" w:color="auto" w:fill="FFFFFF"/>
        </w:rPr>
        <w:t xml:space="preserve">Vias aéreas; </w:t>
      </w:r>
      <w:proofErr w:type="gramStart"/>
      <w:r w:rsidRPr="009D3E08">
        <w:rPr>
          <w:rFonts w:cs="Arial"/>
          <w:shd w:val="clear" w:color="auto" w:fill="FFFFFF"/>
        </w:rPr>
        <w:t>Má</w:t>
      </w:r>
      <w:proofErr w:type="gramEnd"/>
      <w:r w:rsidRPr="009D3E08">
        <w:rPr>
          <w:rFonts w:cs="Arial"/>
          <w:shd w:val="clear" w:color="auto" w:fill="FFFFFF"/>
        </w:rPr>
        <w:t xml:space="preserve"> oclusão de</w:t>
      </w:r>
      <w:r>
        <w:rPr>
          <w:rFonts w:cs="Arial"/>
          <w:shd w:val="clear" w:color="auto" w:fill="FFFFFF"/>
        </w:rPr>
        <w:t xml:space="preserve"> Classe II</w:t>
      </w:r>
      <w:r w:rsidRPr="009D3E08">
        <w:rPr>
          <w:rFonts w:cs="Arial"/>
          <w:shd w:val="clear" w:color="auto" w:fill="FFFFFF"/>
        </w:rPr>
        <w:t xml:space="preserve">; </w:t>
      </w:r>
      <w:r>
        <w:rPr>
          <w:rFonts w:cs="Arial"/>
          <w:shd w:val="clear" w:color="auto" w:fill="FFFFFF"/>
        </w:rPr>
        <w:t>Aparelhos funcionais</w:t>
      </w:r>
      <w:r w:rsidRPr="009D3E08">
        <w:rPr>
          <w:rFonts w:cs="Arial"/>
          <w:shd w:val="clear" w:color="auto" w:fill="FFFFFF"/>
        </w:rPr>
        <w:t xml:space="preserve">; </w:t>
      </w:r>
      <w:r>
        <w:rPr>
          <w:rFonts w:cs="Arial"/>
          <w:shd w:val="clear" w:color="auto" w:fill="FFFFFF"/>
        </w:rPr>
        <w:t>Pacientes em crescimento</w:t>
      </w:r>
      <w:r w:rsidRPr="009D3E08">
        <w:rPr>
          <w:rFonts w:cs="Arial"/>
          <w:shd w:val="clear" w:color="auto" w:fill="FFFFFF"/>
        </w:rPr>
        <w:t>.</w:t>
      </w:r>
    </w:p>
    <w:p w14:paraId="59AD4217" w14:textId="77777777" w:rsidR="00B00846" w:rsidRDefault="00B00846"/>
    <w:sectPr w:rsidR="00B008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944"/>
    <w:rsid w:val="00000D52"/>
    <w:rsid w:val="003E7944"/>
    <w:rsid w:val="00B00846"/>
    <w:rsid w:val="00BC795E"/>
    <w:rsid w:val="00E2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481B7"/>
  <w15:chartTrackingRefBased/>
  <w15:docId w15:val="{AEF60080-5D35-4128-B8A7-4343C0B8A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94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3E7944"/>
    <w:rPr>
      <w:color w:val="0000FF"/>
      <w:u w:val="single"/>
    </w:rPr>
  </w:style>
  <w:style w:type="character" w:styleId="Refdecomentrio">
    <w:name w:val="annotation reference"/>
    <w:uiPriority w:val="99"/>
    <w:rsid w:val="003E794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3E794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E7944"/>
    <w:rPr>
      <w:rFonts w:ascii="Arial" w:eastAsia="Times New Roman" w:hAnsi="Arial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2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linicalTrials.gov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Moreira Das Neves</dc:creator>
  <cp:keywords/>
  <dc:description/>
  <cp:lastModifiedBy>Bruno Moreira Das Neves</cp:lastModifiedBy>
  <cp:revision>1</cp:revision>
  <dcterms:created xsi:type="dcterms:W3CDTF">2025-05-02T13:55:00Z</dcterms:created>
  <dcterms:modified xsi:type="dcterms:W3CDTF">2025-05-02T13:57:00Z</dcterms:modified>
</cp:coreProperties>
</file>